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1E4" w:rsidRDefault="00F901E4" w:rsidP="00F901E4">
      <w:pPr>
        <w:pStyle w:val="a3"/>
        <w:spacing w:before="0" w:beforeAutospacing="0" w:after="0" w:afterAutospacing="0"/>
        <w:ind w:firstLine="150"/>
        <w:jc w:val="center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b/>
          <w:bCs/>
          <w:color w:val="1E1E1E"/>
          <w:sz w:val="21"/>
          <w:szCs w:val="21"/>
        </w:rPr>
        <w:t>Информация для предпринимателей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На сегодняшний день на территории  сельского поселения </w:t>
      </w:r>
      <w:proofErr w:type="spellStart"/>
      <w:r>
        <w:rPr>
          <w:rFonts w:ascii="Arial" w:hAnsi="Arial" w:cs="Arial"/>
          <w:color w:val="1E1E1E"/>
          <w:sz w:val="21"/>
          <w:szCs w:val="21"/>
        </w:rPr>
        <w:t>сумона</w:t>
      </w:r>
      <w:proofErr w:type="spellEnd"/>
      <w:r>
        <w:rPr>
          <w:rFonts w:ascii="Arial" w:hAnsi="Arial" w:cs="Arial"/>
          <w:color w:val="1E1E1E"/>
          <w:sz w:val="21"/>
          <w:szCs w:val="21"/>
        </w:rPr>
        <w:t xml:space="preserve"> Хадынский</w:t>
      </w:r>
      <w:bookmarkStart w:id="0" w:name="_GoBack"/>
      <w:bookmarkEnd w:id="0"/>
      <w:r>
        <w:rPr>
          <w:rFonts w:ascii="Arial" w:hAnsi="Arial" w:cs="Arial"/>
          <w:color w:val="1E1E1E"/>
          <w:sz w:val="21"/>
          <w:szCs w:val="21"/>
        </w:rPr>
        <w:t xml:space="preserve">  созданы условия  для жителей поселения в обеспечении  их услугами  торговли. Основной отраслевой направленностью является розничная торговля.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Основными, приоритетными направлениями развития малого бизнеса являются: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оказание информационно-консультативной поддержки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развитие инфраструктуры поддержки малого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обучение и подготовка кадров в сфере малого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обеспечение социальной защиты и безопасности в сфере малого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использование муниципального имущества для развития малого и среднего предпринимательства.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Основные мероприятия развития малого и среднего бизнеса являются: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формирование благоприятной  внешней среды для развития малого бизнеса, информационно-консультативная поддержка субъектов малого и среднего предпринимательства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проведение конкурсов, семинаров тренингов, круглых столов и иных мероприятий с субъек</w:t>
      </w:r>
      <w:r>
        <w:rPr>
          <w:rFonts w:ascii="Arial" w:hAnsi="Arial" w:cs="Arial"/>
          <w:color w:val="1E1E1E"/>
          <w:sz w:val="21"/>
          <w:szCs w:val="21"/>
        </w:rPr>
        <w:softHyphen/>
        <w:t>тами малого и среднего предпри</w:t>
      </w:r>
      <w:r>
        <w:rPr>
          <w:rFonts w:ascii="Arial" w:hAnsi="Arial" w:cs="Arial"/>
          <w:color w:val="1E1E1E"/>
          <w:sz w:val="21"/>
          <w:szCs w:val="21"/>
        </w:rPr>
        <w:softHyphen/>
        <w:t>нимательства.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Учитывая дефицит денежных средств местного бюджета, финансирование мероприятий, направленных на поддержку малого предпринимательства, не представляется возможным. В связи с этим, планируется оказание информационной и консультационной помощи субъектам малого бизнеса.          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Основными проблемами, препятствующими интенсивному развитию малого и среднего предпринимательства, являются: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Ограниченность отраслей экономики, в которых осуществляют деятельность субъекты малого и среднего предпринимательства; ограниченный доступ субъектов малого предпринимательства к кредитным ресурсам; дефицит квалифицированных кадров, недостаточный уровень профессиональной подготовки Данные проблемы можно решить путем активизации мер по развитию малого среднего бизнеса, в том числе государственной поддержки субъектов ма</w:t>
      </w:r>
      <w:r>
        <w:rPr>
          <w:rFonts w:ascii="Arial" w:hAnsi="Arial" w:cs="Arial"/>
          <w:color w:val="1E1E1E"/>
          <w:sz w:val="21"/>
          <w:szCs w:val="21"/>
        </w:rPr>
        <w:softHyphen/>
        <w:t>лого и среднего предпринимательства. 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Полномочия органов местного самоуправления по развитию малого и среднего предпринимательства закреплены в статье 11 Федерального закона от 24 июля 2007 года </w:t>
      </w:r>
      <w:hyperlink r:id="rId5" w:history="1">
        <w:r>
          <w:rPr>
            <w:rStyle w:val="a4"/>
            <w:rFonts w:ascii="Arial" w:hAnsi="Arial" w:cs="Arial"/>
            <w:color w:val="1070B5"/>
            <w:sz w:val="21"/>
            <w:szCs w:val="21"/>
          </w:rPr>
          <w:t>№ 209-ФЗ «О развитии малого и среднего предпринимательства в Российской Федерации»</w:t>
        </w:r>
      </w:hyperlink>
      <w:r>
        <w:rPr>
          <w:rFonts w:ascii="Arial" w:hAnsi="Arial" w:cs="Arial"/>
          <w:color w:val="1E1E1E"/>
          <w:sz w:val="21"/>
          <w:szCs w:val="21"/>
        </w:rPr>
        <w:t> (далее – Федеральный закон №209-ФЗ), к ним относятся: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1) формирование и реализация муниципальных программ развития малого и среднего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2)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3) формирование инфраструктуры поддержки субъектов малого и среднего предпринимательства и обеспечение ее деятельности;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4)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5) образование координационных или совещательных органов в области развития малого и среднего предпринимательства органами местного самоуправления.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Данные вопросы Федеральным законом № 131-ФЗ «Об общих принципах организации местного самоуправления в Российской Федерации» отнесены как к вопросам местного значения муниципальных районов (п.25 ч.1 ст.15) и городского округа (п.33 ч.1 ст.16), так и вопросам местного значения поселений (п.28 ч.1 ст.14).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Установленный статьей 11 Федерального закона № 209-ФЗ перечень не является исчерпывающим. Это означает, что органы местного самоуправления вправе реализовывать и иные полномочия, установленные как данным законом, так и иными законами, например предоставление налоговых льгот по местным налогам.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Закрепление за муниципальными образованиями вопросов местного значения и полномочий органов местного самоуправления по их реализации означает не только право действовать в определенных сферах определенным образом, но и обязанность выполнять соответствующие функции, в данном случае – создавать условия (оказывать содействие) для развития малого и среднего предпринимательства в муниципальном образовании.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jc w:val="center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Муниципальные программы развития субъектов малого и среднего предпринимательства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proofErr w:type="gramStart"/>
      <w:r>
        <w:rPr>
          <w:rFonts w:ascii="Arial" w:hAnsi="Arial" w:cs="Arial"/>
          <w:color w:val="1E1E1E"/>
          <w:sz w:val="21"/>
          <w:szCs w:val="21"/>
        </w:rPr>
        <w:lastRenderedPageBreak/>
        <w:t>Муниципальные программы развития субъектов малого и среднего предпринимательства представляют собой нормативные правовые акты органов местного самоуправления, в которых определяются перечни мероприятий, направленных на достижение целей в области развития малого и среднего предпринимательства, осуществляемых в муниципальных образованиях; объем и источники их финансирования; органы местного самоуправления, ответственные за реализацию указанных мероприятий, и ожидаемые результаты их деятельности.</w:t>
      </w:r>
      <w:proofErr w:type="gramEnd"/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Законодательство выделяет следующие направления поддержки органами местного самоуправления развитию малого и среднего бизнеса, реализуемые в рамках муниципальных программ: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Финансовой поддержкой согласно статье 17 Федерального закона №209-ФЗ является предоставление средств местных бюджетов субъектам малого и среднего предпринимательства или организациям, образующим инфраструктуру поддержки субъектов малого и среднего предпринимательства, в форме субсидий, бюджетных инвестиций, муниципальных гарантий по их обязательствам.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Субсидии могут предоставляться как определенным категориям предпринимателей на определенные нужды (например, субсидии на выплату процентов по банковским кредитам), так и на реализацию определенных проектов в порядке грантов, т.е. победителям конкурсов, проводимых органами местного самоуправления. Условия предоставления субсидий должны определяются муниципальными правовыми актами. Субсидии могут предоставляться как субъектам малого и среднего предпринимательства, так и организациям, образующим инфраструктуру поддержки субъектов малого и среднего предпринимательства – например, в виде полной или частичной компенсации кредитно-финансовым организациям недополученной прибыли при кредитовании субъектов малого предпринимательства по пониженной процентной ставке (на льготных условиях), совместного (паевого) финансирования с финансово-кредитной организацией.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Бюджетные инвестиции отличаются от прочих форм финансовой поддержки взаимовыгодным характером, т.к. предоставление субъекту малого и среднего предпринимательства ассигнований из местного бюджета сопровождается возникновением права муниципальной собственности на эквивалентную часть уставного (складочного) капитала соответствующего юридического лица.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Муниципальная гарантия, как вид поручительства, представляет собой принятие на себя муниципальным образованием ответственности по обязательствам субъекта малого и среднего предпринимательства перед его кредитором в случае неисполнения субъектом малого и среднего предпринимательства своих обязанностей. Общий объем и условия предоставления гарантий должны быть определены программой муниципальных гарантий на очередной финансовый год (плановый период) в решении о бюджете.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proofErr w:type="gramStart"/>
      <w:r>
        <w:rPr>
          <w:rFonts w:ascii="Arial" w:hAnsi="Arial" w:cs="Arial"/>
          <w:color w:val="1E1E1E"/>
          <w:sz w:val="21"/>
          <w:szCs w:val="21"/>
        </w:rPr>
        <w:t>·         Имущественная поддержка, согласно статье 18 Федерального закона №209-ФЗ выражается в передаче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основе, безвозмездной основе или на льготных условиях.</w:t>
      </w:r>
      <w:proofErr w:type="gramEnd"/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·         Поддержка оказывается в различных незапрещенных действующим законодательством формах: аренда, в </w:t>
      </w:r>
      <w:proofErr w:type="spellStart"/>
      <w:r>
        <w:rPr>
          <w:rFonts w:ascii="Arial" w:hAnsi="Arial" w:cs="Arial"/>
          <w:color w:val="1E1E1E"/>
          <w:sz w:val="21"/>
          <w:szCs w:val="21"/>
        </w:rPr>
        <w:t>т.ч</w:t>
      </w:r>
      <w:proofErr w:type="spellEnd"/>
      <w:r>
        <w:rPr>
          <w:rFonts w:ascii="Arial" w:hAnsi="Arial" w:cs="Arial"/>
          <w:color w:val="1E1E1E"/>
          <w:sz w:val="21"/>
          <w:szCs w:val="21"/>
        </w:rPr>
        <w:t>. земельных и лесных участков, ссуда, или безвозмездное пользование, лизинг, концессия и др.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При этом законодательством вводится ряд дополнительных требований к использованию переданного в порядке поддержки субъектам малого и среднего предпринимательства имущества: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имущество должно использоваться по целевому назначению;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запрещаются продажа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Органы местного самоуправления вправе утвердить перечни муниципального имущества, предназначенного для передачи во владение и (или) в пользование субъектам малого и среднего предпринимательства. Такой перечень обеспечивает как сохранение в муниципальной собственности того или иного имущества, так и информирование предпринимателей об имуществе, которое может быть им предоставлено.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Информационная поддержка в силу статьи 19 Федерального закона №209-ФЗ заключается в создании муниципальных информационных систем и информационно-телекоммуникационных </w:t>
      </w:r>
      <w:r>
        <w:rPr>
          <w:rFonts w:ascii="Arial" w:hAnsi="Arial" w:cs="Arial"/>
          <w:color w:val="1E1E1E"/>
          <w:sz w:val="21"/>
          <w:szCs w:val="21"/>
        </w:rPr>
        <w:lastRenderedPageBreak/>
        <w:t>сетей и обеспечении их функционирования в целях поддержки субъектов малого и среднего предпринимательства.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Такие системы должны содержать сведения: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о реализации муниципальных программ развития субъектов малого и среднего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о количестве субъектов малого и среднего предпринимательства и об их классификации по видам экономической деятельности;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о финансово-экономическом состоянии субъектов малого и среднего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об организациях, образующих инфраструктуру поддержки субъектов малого и среднего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иного характера (экономической, правовой, статистической, производственно-технологической информацией, информацией в области маркетинга, необходимой для развития субъектов малого и среднего предпринимательства).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Такая информация должна быть общедоступной и размещена в сети «Интернет» на официальных сайтах органов местного самоуправления.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Консультационная поддержка в соответствии со статьей 20 Федерального закона №209-ФЗ включает создание организаций, оказывающих консультационные услуги субъектам малого и среднего предпринимательства, компенсацию затрат, произведенных и документально подтвержденных субъектами малого и среднего предпринимательства, на оплату консультационных услуг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proofErr w:type="gramStart"/>
      <w:r>
        <w:rPr>
          <w:rFonts w:ascii="Arial" w:hAnsi="Arial" w:cs="Arial"/>
          <w:color w:val="1E1E1E"/>
          <w:sz w:val="21"/>
          <w:szCs w:val="21"/>
        </w:rPr>
        <w:t xml:space="preserve">Местные власти также вправе реализовывать организационные формы поддержки малого и среднего  предпринимательства (консалтинг, инициирование создания организаций по поддержке малого предпринимательства и взаимодействие с ними, организации </w:t>
      </w:r>
      <w:proofErr w:type="spellStart"/>
      <w:r>
        <w:rPr>
          <w:rFonts w:ascii="Arial" w:hAnsi="Arial" w:cs="Arial"/>
          <w:color w:val="1E1E1E"/>
          <w:sz w:val="21"/>
          <w:szCs w:val="21"/>
        </w:rPr>
        <w:t>выставочно</w:t>
      </w:r>
      <w:proofErr w:type="spellEnd"/>
      <w:r>
        <w:rPr>
          <w:rFonts w:ascii="Arial" w:hAnsi="Arial" w:cs="Arial"/>
          <w:color w:val="1E1E1E"/>
          <w:sz w:val="21"/>
          <w:szCs w:val="21"/>
        </w:rPr>
        <w:t xml:space="preserve">-ярмарочных мероприятий, информационная поддержка, в </w:t>
      </w:r>
      <w:proofErr w:type="spellStart"/>
      <w:r>
        <w:rPr>
          <w:rFonts w:ascii="Arial" w:hAnsi="Arial" w:cs="Arial"/>
          <w:color w:val="1E1E1E"/>
          <w:sz w:val="21"/>
          <w:szCs w:val="21"/>
        </w:rPr>
        <w:t>т.ч</w:t>
      </w:r>
      <w:proofErr w:type="spellEnd"/>
      <w:r>
        <w:rPr>
          <w:rFonts w:ascii="Arial" w:hAnsi="Arial" w:cs="Arial"/>
          <w:color w:val="1E1E1E"/>
          <w:sz w:val="21"/>
          <w:szCs w:val="21"/>
        </w:rPr>
        <w:t>. организация программ и рубрик в действующих СМИ по насущным проблемам малого и среднего предпринимательства, семинаров и конференций, пропаганда и освещение деятельности организаций поддержки субъектов малого и среднего предпринимательства).</w:t>
      </w:r>
      <w:proofErr w:type="gramEnd"/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proofErr w:type="gramStart"/>
      <w:r>
        <w:rPr>
          <w:rFonts w:ascii="Arial" w:hAnsi="Arial" w:cs="Arial"/>
          <w:color w:val="1E1E1E"/>
          <w:sz w:val="21"/>
          <w:szCs w:val="21"/>
        </w:rPr>
        <w:t>Поддержка в области подготовки, переподготовки и повышения квалификации кадров по своему характеру является организационно-методической помощью и включает в себя, согласно статьи 21 Федерального закона №209-ФЗ, разработку примерных образовательных программ, направленных на подготовку, переподготовку и повышение квалификации кадров для субъектов малого и среднего предпринимательства, создание условий для повышения профессиональных знаний специалистов, относящихся к социально незащищенным группам населения, совершенствования их деловых качеств</w:t>
      </w:r>
      <w:proofErr w:type="gramEnd"/>
      <w:r>
        <w:rPr>
          <w:rFonts w:ascii="Arial" w:hAnsi="Arial" w:cs="Arial"/>
          <w:color w:val="1E1E1E"/>
          <w:sz w:val="21"/>
          <w:szCs w:val="21"/>
        </w:rPr>
        <w:t>, подготовки их к выполнению новых трудовых функций в области малого и среднего предпринимательства, учебно-методологической, научно-методической помощи субъектам малого и среднего предпринимательства.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Это направление может реализовываться, в частности, путем размещения муниципального заказа на оказание образовательных услуг субъектам малого и среднего предпринимательства, а также путем </w:t>
      </w:r>
      <w:proofErr w:type="spellStart"/>
      <w:r>
        <w:rPr>
          <w:rFonts w:ascii="Arial" w:hAnsi="Arial" w:cs="Arial"/>
          <w:color w:val="1E1E1E"/>
          <w:sz w:val="21"/>
          <w:szCs w:val="21"/>
        </w:rPr>
        <w:t>софинансирования</w:t>
      </w:r>
      <w:proofErr w:type="spellEnd"/>
      <w:r>
        <w:rPr>
          <w:rFonts w:ascii="Arial" w:hAnsi="Arial" w:cs="Arial"/>
          <w:color w:val="1E1E1E"/>
          <w:sz w:val="21"/>
          <w:szCs w:val="21"/>
        </w:rPr>
        <w:t xml:space="preserve"> (субсидирования) обучения специалистов для малого и среднего предпринимательства.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Поддержка в области инноваций и промышленного производства, ремесленничества, а также осуществляющих деятельность в отдельных сферах правоотношений субъектов подразумевает мероприятия различного (организационного, имущественного и другого) характера, облегчающие субъектам малого и среднего предпринимательства деятельность именно в определенных сферах: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в области инноваций и промышленного производства (создание технопарков, центров коммерциализации технологий, технико-внедренческих и научно-производственных зон, содействие патентованию изобретений, создание акционерных инвестиционных фондов и закрытых паевых инвестиционных фондов);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в области ремесленной деятельности (создание специализированных таких организаций как палаты ремесел, центры ремесел)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- в отношении субъектов, осуществляющих внешнеэкономическую деятельность (создание благоприятных условий для российских участников внешнеэкономической деятельности, </w:t>
      </w:r>
      <w:r>
        <w:rPr>
          <w:rFonts w:ascii="Arial" w:hAnsi="Arial" w:cs="Arial"/>
          <w:color w:val="1E1E1E"/>
          <w:sz w:val="21"/>
          <w:szCs w:val="21"/>
        </w:rPr>
        <w:lastRenderedPageBreak/>
        <w:t>специализированных организаций по поддержке таких субъектов малого и среднего предпринимательства), др.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Оказание поддержки субъектам малого и среднего предпринимательства осуществляется в заявительном порядке. Право на предоставление поддержки связано с подтверждением статуса субъектов малого и среднего предпринимательства  и с соответствием критериям, указанным в муниципальной программе развития субъектов малого и среднего предпринимательства для соответствующих форм поддержки.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Закон устанавливает принцип открытости процедур оказания поддержки и равного доступа субъектов малого и среднего предпринимательства к поддержке. Поэтому непосредственно в законе закреплен исчерпывающий перечень субъектов малого и среднего предпринимательства, которым не может оказываться поддержка: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1) являющихся кредитными организациями, страховыми организациями (за исключением потребительских кооперативов), инвестиционными, негосударственными пенсионными фондами, профессиональными участниками рынка ценных бумаг, ломбардами;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2) являющихся участниками соглашений о разделе продукции;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3) </w:t>
      </w:r>
      <w:proofErr w:type="gramStart"/>
      <w:r>
        <w:rPr>
          <w:rFonts w:ascii="Arial" w:hAnsi="Arial" w:cs="Arial"/>
          <w:color w:val="1E1E1E"/>
          <w:sz w:val="21"/>
          <w:szCs w:val="21"/>
        </w:rPr>
        <w:t>осуществляющих</w:t>
      </w:r>
      <w:proofErr w:type="gramEnd"/>
      <w:r>
        <w:rPr>
          <w:rFonts w:ascii="Arial" w:hAnsi="Arial" w:cs="Arial"/>
          <w:color w:val="1E1E1E"/>
          <w:sz w:val="21"/>
          <w:szCs w:val="21"/>
        </w:rPr>
        <w:t xml:space="preserve"> предпринимательскую деятельность в сфере игорного бизнеса;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4) являющихся в порядке, установленном </w:t>
      </w:r>
      <w:hyperlink r:id="rId6" w:anchor="block_1017" w:history="1">
        <w:r>
          <w:rPr>
            <w:rStyle w:val="a4"/>
            <w:rFonts w:ascii="Arial" w:hAnsi="Arial" w:cs="Arial"/>
            <w:color w:val="1070B5"/>
            <w:sz w:val="21"/>
            <w:szCs w:val="21"/>
          </w:rPr>
          <w:t>законодательством</w:t>
        </w:r>
      </w:hyperlink>
      <w:r>
        <w:rPr>
          <w:rFonts w:ascii="Arial" w:hAnsi="Arial" w:cs="Arial"/>
          <w:color w:val="1E1E1E"/>
          <w:sz w:val="21"/>
          <w:szCs w:val="21"/>
        </w:rPr>
        <w:t> 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 Также в законе предусмотрен закрытый перечень оснований к отказу в предоставлении поддержки, которые связаны либо с несоблюдением требований к получателям поддержки (не представлены необходимые документы или не выполнены условия оказания поддержки), либо с виновным поведением лица (нарушением порядка и условий оказания поддержки), либо с тем, что лицу уже предоставляется поддержка.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Субъекты малого и среднего предпринимательства, по которым принято положительное решение о получении муниципальной поддержки, должны быть включены в реестр субъектов малого и среднего предпринимательства – получателей муниципальной поддержки, который ведется органами местного самоуправления.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Анализ показателей развития малого и среднего предпринимательства и эффективности применения мер по его развитию, прогноз развития.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Определению перечня конкретных мер поддержки предпринимательства на муниципальном уровне предшествует анализ существующих финансовых, экономических, социальных и иных показателей развития малого и среднего предпринимательства, взаимоотношений между муниципалитетом и предпринимателями по следующим направлениям: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как часто и по каким вопросам предприниматели обращаются в администрацию;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каковы сроки принятия решений по конкретным обращениям предпринимателей;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чья инициатива преобладает в случае контактов между администрацией и предпринимателями;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сколько новых предприятий регистрируется в муниципальном образовании ежемесячно;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·         какое количество зарегистрированных предприятий активно функционируют и находятся в связях с администрацией, а </w:t>
      </w:r>
      <w:proofErr w:type="gramStart"/>
      <w:r>
        <w:rPr>
          <w:rFonts w:ascii="Arial" w:hAnsi="Arial" w:cs="Arial"/>
          <w:color w:val="1E1E1E"/>
          <w:sz w:val="21"/>
          <w:szCs w:val="21"/>
        </w:rPr>
        <w:t>сколько предприятий не работают</w:t>
      </w:r>
      <w:proofErr w:type="gramEnd"/>
      <w:r>
        <w:rPr>
          <w:rFonts w:ascii="Arial" w:hAnsi="Arial" w:cs="Arial"/>
          <w:color w:val="1E1E1E"/>
          <w:sz w:val="21"/>
          <w:szCs w:val="21"/>
        </w:rPr>
        <w:t xml:space="preserve"> или не выходят на контакт.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Данный перечень не является исчерпывающим, однако соответствующая информация представляется чрезвычайно важной для того, чтобы четко оценить уровень развития малого и среднего бизнеса на соответствующей территории, уровень контактов между местными властями и предпринимателями и определить набор инструментов, необходимых для содействия развитию бизнеса.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Количество вновь регистрируемых предприятий свидетельствует, с одной стороны, об определенной активности местной администрации, однако, с другой стороны, может объясняться и совсем иными объективными и субъективными факторами. Например, близость к крупному центру или наличие на данной территории каких-либо иных весьма благоприятных обстоятельств могут во многом определять большую активность предпринимателей, желающих начать новое дело.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Помимо сбора и анализа информации по перечисленным выше позициям важное место занимает анкетирования среди предпринимателей. После проведения данных исследований можно переходить к разработке конкретных мер по развитию предпринимательства. При этом </w:t>
      </w:r>
      <w:r>
        <w:rPr>
          <w:rFonts w:ascii="Arial" w:hAnsi="Arial" w:cs="Arial"/>
          <w:color w:val="1E1E1E"/>
          <w:sz w:val="21"/>
          <w:szCs w:val="21"/>
        </w:rPr>
        <w:lastRenderedPageBreak/>
        <w:t>концепция содействия развитию экономики должна предусматривать одновременно решение четырех важнейших задач: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поддержка уже существующего бизнеса,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создание рамочных условий и инфраструктуры поддержки предпринимательства,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помощь начинающим предпринимателям и лицам, открывающим собственное дело,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содействие привлечению инвестиций извне.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·         Формирование инфраструктуры поддержки субъектов малого и среднего предпринимательства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proofErr w:type="gramStart"/>
      <w:r>
        <w:rPr>
          <w:rFonts w:ascii="Arial" w:hAnsi="Arial" w:cs="Arial"/>
          <w:color w:val="1E1E1E"/>
          <w:sz w:val="21"/>
          <w:szCs w:val="21"/>
        </w:rPr>
        <w:t>Инфраструктурой поддержки субъектов малого и среднего предпринимательства согласно статье 15 Федерального закона № 209-ФЗ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муниципальных нужд при реализации программ развития субъектов малого и среднего предпринимательства, обеспечивающих условия для создания субъектов малого</w:t>
      </w:r>
      <w:proofErr w:type="gramEnd"/>
      <w:r>
        <w:rPr>
          <w:rFonts w:ascii="Arial" w:hAnsi="Arial" w:cs="Arial"/>
          <w:color w:val="1E1E1E"/>
          <w:sz w:val="21"/>
          <w:szCs w:val="21"/>
        </w:rPr>
        <w:t xml:space="preserve"> и среднего предпринимательства, и оказания им поддержки.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 </w:t>
      </w:r>
      <w:proofErr w:type="gramStart"/>
      <w:r>
        <w:rPr>
          <w:rFonts w:ascii="Arial" w:hAnsi="Arial" w:cs="Arial"/>
          <w:color w:val="1E1E1E"/>
          <w:sz w:val="21"/>
          <w:szCs w:val="21"/>
        </w:rPr>
        <w:t xml:space="preserve">Инфраструктура поддержки субъектов малого и среднего предпринимательства включает в себя также центры и агентства по развитию предпринимательства,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</w:t>
      </w:r>
      <w:proofErr w:type="spellStart"/>
      <w:r>
        <w:rPr>
          <w:rFonts w:ascii="Arial" w:hAnsi="Arial" w:cs="Arial"/>
          <w:color w:val="1E1E1E"/>
          <w:sz w:val="21"/>
          <w:szCs w:val="21"/>
        </w:rPr>
        <w:t>инновационно</w:t>
      </w:r>
      <w:proofErr w:type="spellEnd"/>
      <w:r>
        <w:rPr>
          <w:rFonts w:ascii="Arial" w:hAnsi="Arial" w:cs="Arial"/>
          <w:color w:val="1E1E1E"/>
          <w:sz w:val="21"/>
          <w:szCs w:val="21"/>
        </w:rPr>
        <w:t>-технологические центры, бизнес-инкубаторы, палаты и центры ремесел, центры поддержки субподряда, маркетинговые и учебно-деловые</w:t>
      </w:r>
      <w:proofErr w:type="gramEnd"/>
      <w:r>
        <w:rPr>
          <w:rFonts w:ascii="Arial" w:hAnsi="Arial" w:cs="Arial"/>
          <w:color w:val="1E1E1E"/>
          <w:sz w:val="21"/>
          <w:szCs w:val="21"/>
        </w:rPr>
        <w:t xml:space="preserve"> центры, агентства по поддержке экспорта товаров, лизинговые компании, консультационные центры и иные организации.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Бизнес-инкубатор – это организация, которая создаёт наиболее благоприятные условия для стартового развития малых предприятий путём предоставления комплекса услуг и ресурсов, включающего: обеспечение предприятий площадью на льготных условиях, средствами связи, оргтехникой, необходимым оборудованием, проводит обучение персонала, консалтинг и т.д.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Гарантийные фонды обеспечивают малым предприятиям недостающее залоговое обеспечение при получении банковского кредита.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Организации, входящие в инфраструктуру поддержки малого и среднего предпринимательства, могут привлекаться к разработке и обсуждению муниципальных правовых актов в сфере развития малого предпринимательства, в </w:t>
      </w:r>
      <w:proofErr w:type="spellStart"/>
      <w:r>
        <w:rPr>
          <w:rFonts w:ascii="Arial" w:hAnsi="Arial" w:cs="Arial"/>
          <w:color w:val="1E1E1E"/>
          <w:sz w:val="21"/>
          <w:szCs w:val="21"/>
        </w:rPr>
        <w:t>т.ч</w:t>
      </w:r>
      <w:proofErr w:type="spellEnd"/>
      <w:r>
        <w:rPr>
          <w:rFonts w:ascii="Arial" w:hAnsi="Arial" w:cs="Arial"/>
          <w:color w:val="1E1E1E"/>
          <w:sz w:val="21"/>
          <w:szCs w:val="21"/>
        </w:rPr>
        <w:t>. муниципальной программы развития субъектов малого и среднего предпринимательства. Они могут быть и исполнителями по такой муниципальной программе.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Содействие деятельности некоммерческих организаций.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На территории любого муниципального образования расположены промышленные предприятия, организации и учреждения, которые обеспечивают занятость населения, являются источником пополнения бюджетов всех уровней. Эти предприятия производят товары и предоставляют услуги непосредственно для местного населения.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Представляется очень важным установление делового сотрудничества органов местного самоуправления с общественными объединениями предпринимателей. Через представителей своих общественных структур предприниматели должны иметь возможность отстаивать свои интересы, участвуя совместно с администрацией (например, в качестве общественных экспертов) в решении целого ряда территориальных задач. Проведение местными органами власти и управления открытой экономической политики позволит избежать случаев недобросовестной конкуренции хозяйствующих субъектов и </w:t>
      </w:r>
      <w:proofErr w:type="gramStart"/>
      <w:r>
        <w:rPr>
          <w:rFonts w:ascii="Arial" w:hAnsi="Arial" w:cs="Arial"/>
          <w:color w:val="1E1E1E"/>
          <w:sz w:val="21"/>
          <w:szCs w:val="21"/>
        </w:rPr>
        <w:t>коррупции местных чиновников</w:t>
      </w:r>
      <w:proofErr w:type="gramEnd"/>
      <w:r>
        <w:rPr>
          <w:rFonts w:ascii="Arial" w:hAnsi="Arial" w:cs="Arial"/>
          <w:color w:val="1E1E1E"/>
          <w:sz w:val="21"/>
          <w:szCs w:val="21"/>
        </w:rPr>
        <w:t>, повысит уровень доверия предпринимателей к местной власти, а также обеспечит вовлечение предпринимателей в сферу действия системы местного самоуправления.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Важным моментом в создании партнерских отношений между субъектами малого предпринимательства, средними и крупными предприятиями является их ориентация органами местного самоуправления не только на совместное выживание, но и на реализацию стратегических направлений социально-экономического развития муниципального образования.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Образование органами местного самоуправления координационных или совещательных органов.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 xml:space="preserve">Координация предпринимательской деятельности является одной из функций управления процессом социально-экономического развития территории, включающую упорядочение, </w:t>
      </w:r>
      <w:r>
        <w:rPr>
          <w:rFonts w:ascii="Arial" w:hAnsi="Arial" w:cs="Arial"/>
          <w:color w:val="1E1E1E"/>
          <w:sz w:val="21"/>
          <w:szCs w:val="21"/>
        </w:rPr>
        <w:lastRenderedPageBreak/>
        <w:t>согласование, регламентацию взаимодействия всех хозяйствующих субъектов. Координация составляет основу управленческой деятельности местных органов власти.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Координационные или совещательные органы в области развития малого и среднего предпринимательства создаются в целях: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выдвижения и поддержки инициатив, имеющих общественное значение и направленных на реализацию государственной политики в области развития малого и среднего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проведения общественной экспертизы проектов муниципальных нормативных правовых актов, регулирующих развитие малого и среднего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выработки рекомендаций органам местного самоуправления при определении приоритетов в области развития малого и среднего предпринимательства;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- 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Вместе с тем необходимо иметь в виду следующие обстоятельства: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каждый предприниматель является самостоятельным хозяйствующим субъектом;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возможности координации органов местного самоуправления ограничены с одной стороны – желанием самих хозяйствующих субъектов, с другой стороны – законодательными рамками;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запрещаются любые действия органов местного самоуправления, направленные или приводящие к ограничению конкуренции на рынке, ущемлению прав хозяйствующих субъектов.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Порядок создания координационных или совещательных органов в области развития малого и среднего предпринимательства органами местного самоуправления определяется муниципальными нормативными правовыми актами. </w:t>
      </w:r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proofErr w:type="gramStart"/>
      <w:r>
        <w:rPr>
          <w:rFonts w:ascii="Arial" w:hAnsi="Arial" w:cs="Arial"/>
          <w:color w:val="1E1E1E"/>
          <w:sz w:val="21"/>
          <w:szCs w:val="21"/>
        </w:rPr>
        <w:t>Создание в муниципальном образовании оптимальных экономических условий для предпринимательской деятельности предполагает проведение органами местного самоуправления соответствующей экономической политики, которая складывается из бюджетной, финансово-кредитной, инвестиционной, научно-технической, ценовой, и других направлений политики, при реализации которых в комплексе используются как косвенные (экономические), так и прямые (административно-ведомственные) методы регулирования.</w:t>
      </w:r>
      <w:proofErr w:type="gramEnd"/>
    </w:p>
    <w:p w:rsidR="00F901E4" w:rsidRDefault="00F901E4" w:rsidP="00F901E4">
      <w:pPr>
        <w:pStyle w:val="a3"/>
        <w:spacing w:before="0" w:beforeAutospacing="0" w:after="0" w:afterAutospacing="0"/>
        <w:ind w:firstLine="150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В русле развития экономических основ местного управления главной формой воздействия на формирование предпринимательских структур со стороны органов местного самоуправления, в частности, является создание соответствующих условий и благожелательного отношения к предпринимательской деятельности. Эта форма воздействия включает в себя реализацию такой экономической политики, которая должна содействовать возникновению новых, становлению и развитию существующих хозяйствующих субъектов вне зависимости от отношения этих субъектов к определенной сфере деятельности, к той или иной категории по численности работающих, объемам производства, организационно-правовой формы и иных признаков.</w:t>
      </w:r>
    </w:p>
    <w:p w:rsidR="002B54AD" w:rsidRDefault="002B54AD"/>
    <w:sectPr w:rsidR="002B5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B2"/>
    <w:rsid w:val="002B54AD"/>
    <w:rsid w:val="006C42B2"/>
    <w:rsid w:val="00F9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0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901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0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901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12133556/1/" TargetMode="External"/><Relationship Id="rId5" Type="http://schemas.openxmlformats.org/officeDocument/2006/relationships/hyperlink" Target="http://base.consultant.ru/cons/cgi/online.cgi?req=doc;base=LAW;n=720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3583</Words>
  <Characters>20428</Characters>
  <Application>Microsoft Office Word</Application>
  <DocSecurity>0</DocSecurity>
  <Lines>170</Lines>
  <Paragraphs>47</Paragraphs>
  <ScaleCrop>false</ScaleCrop>
  <Company>SPecialiST RePack</Company>
  <LinksUpToDate>false</LinksUpToDate>
  <CharactersWithSpaces>23964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2</cp:revision>
  <dcterms:created xsi:type="dcterms:W3CDTF">2019-05-23T10:20:00Z</dcterms:created>
  <dcterms:modified xsi:type="dcterms:W3CDTF">2019-05-23T10:22:00Z</dcterms:modified>
</cp:coreProperties>
</file>